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8"/>
        </w:rPr>
        <w:t>ПУБЛИЧНАЯ ОФЕРТА</w:t>
      </w:r>
    </w:p>
    <w:p>
      <w:pPr>
        <w:jc w:val="center"/>
      </w:pPr>
      <w:r>
        <w:rPr>
          <w:rFonts w:ascii="Times New Roman" w:hAnsi="Times New Roman" w:eastAsia="Times New Roman"/>
          <w:b/>
          <w:sz w:val="24"/>
        </w:rPr>
        <w:t>о заключении договора оказания услуг</w:t>
      </w:r>
    </w:p>
    <w:p>
      <w:pPr>
        <w:jc w:val="center"/>
      </w:pPr>
      <w:r>
        <w:rPr>
          <w:rFonts w:ascii="Times New Roman" w:hAnsi="Times New Roman" w:eastAsia="Times New Roman"/>
          <w:b w:val="0"/>
          <w:sz w:val="22"/>
        </w:rPr>
        <w:t>г. Москва, 20.12.2025</w:t>
      </w:r>
    </w:p>
    <w:p>
      <w:pPr>
        <w:spacing w:after="120" w:line="276" w:lineRule="auto"/>
      </w:pPr>
      <w:r>
        <w:t>Настоящий документ является официальным предложением (публичной офертой) индивидуального предпринимателя Павлова Максима Альбертовича (далее - Исполнитель) заключить договор оказания услуг с любым дееспособным физическим лицом, индивидуальным предпринимателем или юридическим лицом (далее - Заказчик) на условиях, изложенных ниже.</w:t>
      </w:r>
    </w:p>
    <w:p>
      <w:pPr>
        <w:spacing w:after="120" w:line="276" w:lineRule="auto"/>
      </w:pPr>
      <w:r>
        <w:t>Акцепт оферты (принятие условий) означает полное и безоговорочное согласие Заказчика с условиями настоящей оферты и приравнивается к заключению договора в письменной форме.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1. Термины и определения</w:t>
      </w:r>
    </w:p>
    <w:p>
      <w:pPr>
        <w:spacing w:after="120" w:line="276" w:lineRule="auto"/>
      </w:pPr>
      <w:r>
        <w:t>Сайт - интернет-ресурс Исполнителя, на котором размещена настоящая оферта, портфолио, описание услуг и Digital Concept Store.</w:t>
      </w:r>
    </w:p>
    <w:p>
      <w:pPr>
        <w:spacing w:after="120" w:line="276" w:lineRule="auto"/>
      </w:pPr>
      <w:r>
        <w:t>Digital Concept Store - раздел Сайта, существующий исключительно в цифровом пространстве. Физического магазина (концепт-стора) по данному адресу не существует. Размещенные в Digital Concept Store материалы носят демонстрационный и информационный характер.</w:t>
      </w:r>
    </w:p>
    <w:p>
      <w:pPr>
        <w:spacing w:after="120" w:line="276" w:lineRule="auto"/>
      </w:pPr>
      <w:r>
        <w:t>Услуги - работы Исполнителя в сфере разработки дизайна и/или цифровых материалов для одежды и аксессуаров, включая (но не ограничиваясь) эскизирование, консультации, разработку лекал, 3D-визуализацию (CLO 3D) и иные сопутствующие услуги.</w:t>
      </w:r>
    </w:p>
    <w:p>
      <w:pPr>
        <w:spacing w:after="120" w:line="276" w:lineRule="auto"/>
      </w:pPr>
      <w:r>
        <w:t>Заказ - согласованный сторонами объем услуг, стоимость, сроки и состав результата, подтвержденные перепиской в мессенджере/по электронной почте и/или счетом на оплату.</w:t>
      </w:r>
    </w:p>
    <w:p>
      <w:pPr>
        <w:spacing w:after="120" w:line="276" w:lineRule="auto"/>
      </w:pPr>
      <w:r>
        <w:t>Правка - один цикл изменений результата по замечаниям Заказчика, переданный Исполнителю единым списком. В рамках одного Заказа предусмотрено 3 (три) бесплатные правки, если иное не согласовано сторонами.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2. Предмет договора</w:t>
      </w:r>
    </w:p>
    <w:p>
      <w:pPr>
        <w:spacing w:after="120" w:line="276" w:lineRule="auto"/>
      </w:pPr>
      <w:r>
        <w:t>Исполнитель обязуется оказать Заказчику Услуги в рамках Заказа, а Заказчик обязуется принять результат и оплатить Услуги на условиях настоящей оферты.</w:t>
      </w:r>
    </w:p>
    <w:p>
      <w:pPr>
        <w:spacing w:after="120" w:line="276" w:lineRule="auto"/>
      </w:pPr>
      <w:r>
        <w:t>Конкретный перечень Услуг, сроки, стоимость и формат результата определяются в Заказе.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3. Порядок оформления Заказа</w:t>
      </w:r>
    </w:p>
    <w:p>
      <w:pPr>
        <w:spacing w:after="120" w:line="276" w:lineRule="auto"/>
      </w:pPr>
      <w:r>
        <w:t>Заказчик направляет запрос Исполнителю через Сайт, Telegram, электронную почту либо иным согласованным способом и предоставляет вводные данные (техническое задание, референсы, размеры, требования к материалам и т.д.).</w:t>
      </w:r>
    </w:p>
    <w:p>
      <w:pPr>
        <w:spacing w:after="120" w:line="276" w:lineRule="auto"/>
      </w:pPr>
      <w:r>
        <w:t>Исполнитель уточняет вводные, формирует предложение (стоимость, сроки, этапы) и направляет Заказчику подтверждение Заказа.</w:t>
      </w:r>
    </w:p>
    <w:p>
      <w:pPr>
        <w:spacing w:after="120" w:line="276" w:lineRule="auto"/>
      </w:pPr>
      <w:r>
        <w:t>Заказ считается оформленным после согласования условий и совершения акцепта (оплаты) либо после явного подтверждения в переписке, если стороны согласовали отсрочку оплаты.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4. Стоимость услуг и порядок оплаты</w:t>
      </w:r>
    </w:p>
    <w:p>
      <w:pPr>
        <w:spacing w:after="120" w:line="276" w:lineRule="auto"/>
      </w:pPr>
      <w:r>
        <w:t>Стоимость Услуг определяется в Заказе. Если стоимость не указана в Заказе, она определяется по прайс-листу Исполнителя либо по индивидуальному расчету.</w:t>
      </w:r>
    </w:p>
    <w:p>
      <w:pPr>
        <w:spacing w:after="120" w:line="276" w:lineRule="auto"/>
      </w:pPr>
      <w:r>
        <w:t>Оплата производится в порядке предоплаты, частичной предоплаты или постоплаты - в зависимости от условий Заказа.</w:t>
      </w:r>
    </w:p>
    <w:p>
      <w:pPr>
        <w:spacing w:after="120" w:line="276" w:lineRule="auto"/>
      </w:pPr>
      <w:r>
        <w:t>Моментом оплаты считается поступление денежных средств на расчетный счет Исполнителя.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5. Сроки оказания услуг</w:t>
      </w:r>
    </w:p>
    <w:p>
      <w:pPr>
        <w:spacing w:after="120" w:line="276" w:lineRule="auto"/>
      </w:pPr>
      <w:r>
        <w:t>Сроки выполнения Услуг определяются в Заказе и зависят от объема работ, своевременности предоставления материалов Заказчиком и количества согласований.</w:t>
      </w:r>
    </w:p>
    <w:p>
      <w:pPr>
        <w:spacing w:after="120" w:line="276" w:lineRule="auto"/>
      </w:pPr>
      <w:r>
        <w:t>Если Заказчик не предоставляет необходимые материалы/ответы более 10 (десяти) календарных дней, Исполнитель вправе приостановить выполнение Услуг до получения информации. Сроки при этом сдвигаются на период задержки.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6. Порядок сдачи и приемки</w:t>
      </w:r>
    </w:p>
    <w:p>
      <w:pPr>
        <w:spacing w:after="120" w:line="276" w:lineRule="auto"/>
      </w:pPr>
      <w:r>
        <w:t>Результат Услуг передается Заказчику в цифровом виде (файлы, ссылки, изображения, видео и т.п.) через согласованный канал связи.</w:t>
      </w:r>
    </w:p>
    <w:p>
      <w:pPr>
        <w:spacing w:after="120" w:line="276" w:lineRule="auto"/>
      </w:pPr>
      <w:r>
        <w:t>Заказчик обязан проверить результат и направить замечания (при наличии) в течение 5 (пяти) календарных дней с момента получения. При отсутствии замечаний в указанный срок результат считается принятым.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7. Правки и изменение технического задания</w:t>
      </w:r>
    </w:p>
    <w:p>
      <w:pPr>
        <w:spacing w:after="120" w:line="276" w:lineRule="auto"/>
      </w:pPr>
      <w:r>
        <w:t>В рамках одного Заказа предусмотрено 3 (три) бесплатные правки. Правки принимаются в виде единого списка замечаний по каждому этапу/версии результата.</w:t>
      </w:r>
    </w:p>
    <w:p>
      <w:pPr>
        <w:spacing w:after="120" w:line="276" w:lineRule="auto"/>
      </w:pPr>
      <w:r>
        <w:t>Правки, выходящие за пределы исходных вводных (изменение концепции, существенная смена модели/силуэта, добавление новых элементов, расширение состава работ и т.п.), считаются изменением технического задания и оплачиваются дополнительно по согласованию сторон.</w:t>
      </w:r>
    </w:p>
    <w:p>
      <w:pPr>
        <w:spacing w:after="120" w:line="276" w:lineRule="auto"/>
      </w:pPr>
      <w:r>
        <w:t>По истечении 3 (трех) бесплатных правок любые дополнительные правки выполняются за отдельную плату по согласованию сторон.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8. Digital Concept Store</w:t>
      </w:r>
    </w:p>
    <w:p>
      <w:pPr>
        <w:spacing w:after="120" w:line="276" w:lineRule="auto"/>
      </w:pPr>
      <w:r>
        <w:t>Digital Concept Store размещен исключительно на Сайте и существует только в цифровом пространстве. Физически концепт-стор не существует.</w:t>
      </w:r>
    </w:p>
    <w:p>
      <w:pPr>
        <w:spacing w:after="120" w:line="276" w:lineRule="auto"/>
      </w:pPr>
      <w:r>
        <w:t>Материалы Digital Concept Store (визуализации, описания, макеты, изображения и иные элементы) могут являться концептами, демонстрационными образцами и/или примерами работ и не являются предложением о продаже товара в розницу, если прямо не указано иное.</w:t>
      </w:r>
    </w:p>
    <w:p>
      <w:pPr>
        <w:spacing w:after="120" w:line="276" w:lineRule="auto"/>
      </w:pPr>
      <w:r>
        <w:t>Фактические параметры будущего изделия (материалы, оттенки, посадка, фурнитура и др.) могут отличаться от визуализаций и зависят от согласованного технического задания и выбранных материалов.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9. Права на результат и использование материалов</w:t>
      </w:r>
    </w:p>
    <w:p>
      <w:pPr>
        <w:spacing w:after="120" w:line="276" w:lineRule="auto"/>
      </w:pPr>
      <w:r>
        <w:t>Если иное не согласовано сторонами, исключительные права на результаты интеллектуальной деятельности (эскизы, 3D-визуализации, лекала, графика и т.п.) остаются у Исполнителя до полной оплаты Услуг.</w:t>
      </w:r>
    </w:p>
    <w:p>
      <w:pPr>
        <w:spacing w:after="120" w:line="276" w:lineRule="auto"/>
      </w:pPr>
      <w:r>
        <w:t>После полной оплаты Исполнитель предоставляет Заказчику право использования результата в объеме, необходимом для целей Заказа. Объем прав (простая лицензия или отчуждение исключительных прав) может быть согласован отдельно в Заказе.</w:t>
      </w:r>
    </w:p>
    <w:p>
      <w:pPr>
        <w:spacing w:after="120" w:line="276" w:lineRule="auto"/>
      </w:pPr>
      <w:r>
        <w:t>Исполнитель вправе использовать результат (или его фрагменты) в портфолио, на Сайте и в социальных сетях в демонстрационных целях, если Заказчик письменно не запретил такое использование до начала работ. При наличии NDA условия использования в портфолио применяются с учетом NDA.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10. Конфиденциальность</w:t>
      </w:r>
    </w:p>
    <w:p>
      <w:pPr>
        <w:spacing w:after="120" w:line="276" w:lineRule="auto"/>
      </w:pPr>
      <w:r>
        <w:t>Стороны обязуются не разглашать конфиденциальную информацию, полученную при исполнении Заказа, если иное не согласовано письменно.</w:t>
      </w:r>
    </w:p>
    <w:p>
      <w:pPr>
        <w:spacing w:after="120" w:line="276" w:lineRule="auto"/>
      </w:pPr>
      <w:r>
        <w:t>По запросу Заказчика Исполнитель заключает отдельное соглашение о конфиденциальности (NDA).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11. Обработка персональных данных</w:t>
      </w:r>
    </w:p>
    <w:p>
      <w:pPr>
        <w:spacing w:after="120" w:line="276" w:lineRule="auto"/>
      </w:pPr>
      <w:r>
        <w:t>Если Заказчик предоставляет персональные данные (ФИО, телефон, e-mail и т.п.), они обрабатываются Исполнителем в целях связи, оформления и исполнения Заказа.</w:t>
      </w:r>
    </w:p>
    <w:p>
      <w:pPr>
        <w:spacing w:after="120" w:line="276" w:lineRule="auto"/>
      </w:pPr>
      <w:r>
        <w:t>Подробные условия обработки персональных данных размещаются в отдельном документе на Сайте (Политика конфиденциальности/Политика обработки персональных данных).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12. Ответственность сторон</w:t>
      </w:r>
    </w:p>
    <w:p>
      <w:pPr>
        <w:spacing w:after="120" w:line="276" w:lineRule="auto"/>
      </w:pPr>
      <w:r>
        <w:t>Стороны несут ответственность в соответствии с законодательством Российской Федерации.</w:t>
      </w:r>
    </w:p>
    <w:p>
      <w:pPr>
        <w:spacing w:after="120" w:line="276" w:lineRule="auto"/>
      </w:pPr>
      <w:r>
        <w:t>Исполнитель не несет ответственность за последствия использования результата Заказчиком, если Заказчик изменял файлы/исходные данные самостоятельно либо передал их третьим лицам без согласования.</w:t>
      </w:r>
    </w:p>
    <w:p>
      <w:pPr>
        <w:spacing w:after="120" w:line="276" w:lineRule="auto"/>
      </w:pPr>
      <w:r>
        <w:t>Совокупная ответственность Исполнителя по одному Заказу ограничена суммой фактически оплаченных Заказчиком денежных средств по соответствующему Заказу, если иное не предусмотрено императивными нормами закона.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13. Форс-мажор</w:t>
      </w:r>
    </w:p>
    <w:p>
      <w:pPr>
        <w:spacing w:after="120" w:line="276" w:lineRule="auto"/>
      </w:pPr>
      <w:r>
        <w:t>Стороны освобождаются от ответственности за частичное или полное неисполнение обязательств, если оно явилось следствием обстоятельств непреодолимой силы (форс-мажор), возникших после акцепта оферты.</w:t>
      </w:r>
    </w:p>
    <w:p>
      <w:pPr>
        <w:spacing w:after="120" w:line="276" w:lineRule="auto"/>
      </w:pPr>
      <w:r>
        <w:t>Сторона, для которой наступили такие обстоятельства, уведомляет другую сторону в разумный срок.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14. Порядок разрешения споров</w:t>
      </w:r>
    </w:p>
    <w:p>
      <w:pPr>
        <w:spacing w:after="120" w:line="276" w:lineRule="auto"/>
      </w:pPr>
      <w:r>
        <w:t>Претензионный порядок является обязательным. Срок ответа на претензию - 10 (десять) рабочих дней с даты получения.</w:t>
      </w:r>
    </w:p>
    <w:p>
      <w:pPr>
        <w:spacing w:after="120" w:line="276" w:lineRule="auto"/>
      </w:pPr>
      <w:r>
        <w:t>При невозможности урегулирования спора в досудебном порядке спор подлежит рассмотрению в суде по месту нахождения Исполнителя, если иное не установлено законом.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15. Заключительные положения</w:t>
      </w:r>
    </w:p>
    <w:p>
      <w:pPr>
        <w:spacing w:after="120" w:line="276" w:lineRule="auto"/>
      </w:pPr>
      <w:r>
        <w:t>Оферта действует бессрочно до момента ее отзыва Исполнителем. Исполнитель вправе изменять условия оферты, размещая актуальную редакцию на Сайте. К конкретному Заказу применяется редакция, действовавшая на момент акцепта.</w:t>
      </w:r>
    </w:p>
    <w:p>
      <w:pPr>
        <w:spacing w:after="120" w:line="276" w:lineRule="auto"/>
      </w:pPr>
      <w:r>
        <w:t>Переписка сторон в мессенджерах и по электронной почте имеет юридическую силу, если позволяет достоверно определить сторону, направившую сообщение.</w:t>
      </w:r>
    </w:p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Контакты Исполнителя</w:t>
      </w:r>
    </w:p>
    <w:p>
      <w:pPr>
        <w:spacing w:after="120" w:line="276" w:lineRule="auto"/>
      </w:pPr>
      <w:r>
        <w:t>Предпочтительный канал связи: Telegram.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</w:tcPr>
          <w:p>
            <w:r>
              <w:t>Telegram</w:t>
            </w:r>
          </w:p>
        </w:tc>
        <w:tc>
          <w:tcPr>
            <w:tcW w:type="dxa" w:w="5669"/>
          </w:tcPr>
          <w:p>
            <w:r>
              <w:t>@frctre</w:t>
            </w:r>
          </w:p>
        </w:tc>
      </w:tr>
      <w:tr>
        <w:tc>
          <w:tcPr>
            <w:tcW w:type="dxa" w:w="3402"/>
          </w:tcPr>
          <w:p>
            <w:r>
              <w:t>Телефон</w:t>
            </w:r>
          </w:p>
        </w:tc>
        <w:tc>
          <w:tcPr>
            <w:tcW w:type="dxa" w:w="5669"/>
          </w:tcPr>
          <w:p>
            <w:r>
              <w:t>+7 977 650 45 89</w:t>
            </w:r>
          </w:p>
        </w:tc>
      </w:tr>
      <w:tr>
        <w:tc>
          <w:tcPr>
            <w:tcW w:type="dxa" w:w="3402"/>
          </w:tcPr>
          <w:p>
            <w:r>
              <w:t>E-mail</w:t>
            </w:r>
          </w:p>
        </w:tc>
        <w:tc>
          <w:tcPr>
            <w:tcW w:type="dxa" w:w="5669"/>
          </w:tcPr>
          <w:p>
            <w:r>
              <w:t>frctre.studio@yandex.ru</w:t>
            </w:r>
          </w:p>
        </w:tc>
      </w:tr>
      <w:tr>
        <w:tc>
          <w:tcPr>
            <w:tcW w:type="dxa" w:w="3402"/>
          </w:tcPr>
          <w:p>
            <w:r>
              <w:t>Instagram</w:t>
            </w:r>
          </w:p>
        </w:tc>
        <w:tc>
          <w:tcPr>
            <w:tcW w:type="dxa" w:w="5669"/>
          </w:tcPr>
          <w:p>
            <w:r>
              <w:t>studio_fracture</w:t>
            </w:r>
          </w:p>
        </w:tc>
      </w:tr>
      <w:tr>
        <w:tc>
          <w:tcPr>
            <w:tcW w:type="dxa" w:w="3402"/>
          </w:tcPr>
          <w:p>
            <w:r>
              <w:t>Время работы</w:t>
            </w:r>
          </w:p>
        </w:tc>
        <w:tc>
          <w:tcPr>
            <w:tcW w:type="dxa" w:w="5669"/>
          </w:tcPr>
          <w:p>
            <w:r>
              <w:t>Ежедневно с 10:00 до 00:00</w:t>
            </w:r>
          </w:p>
        </w:tc>
      </w:tr>
      <w:tr>
        <w:tc>
          <w:tcPr>
            <w:tcW w:type="dxa" w:w="3402"/>
          </w:tcPr>
          <w:p>
            <w:r>
              <w:t>Срок ответа на запрос</w:t>
            </w:r>
          </w:p>
        </w:tc>
        <w:tc>
          <w:tcPr>
            <w:tcW w:type="dxa" w:w="5669"/>
          </w:tcPr>
          <w:p>
            <w:r>
              <w:t>Обычно в течение 15 минут</w:t>
            </w:r>
          </w:p>
        </w:tc>
      </w:tr>
      <w:tr>
        <w:tc>
          <w:tcPr>
            <w:tcW w:type="dxa" w:w="3402"/>
          </w:tcPr>
          <w:p>
            <w:r>
              <w:t>Адрес digital пространства</w:t>
            </w:r>
          </w:p>
        </w:tc>
        <w:tc>
          <w:tcPr>
            <w:tcW w:type="dxa" w:w="5669"/>
          </w:tcPr>
          <w:p>
            <w:r>
              <w:t>Москва, улица центр разлома, д. 1 (только онлайн-формат)</w:t>
            </w:r>
          </w:p>
        </w:tc>
      </w:tr>
      <w:tr>
        <w:tc>
          <w:tcPr>
            <w:tcW w:type="dxa" w:w="3402"/>
          </w:tcPr>
          <w:p>
            <w:r>
              <w:t>Фактический адрес (логистика/производство)</w:t>
            </w:r>
          </w:p>
        </w:tc>
        <w:tc>
          <w:tcPr>
            <w:tcW w:type="dxa" w:w="5669"/>
          </w:tcPr>
          <w:p>
            <w:r>
              <w:t>Малая Калужская, 1с3</w:t>
            </w:r>
          </w:p>
        </w:tc>
      </w:tr>
    </w:tbl>
    <w:p>
      <w:pPr>
        <w:spacing w:before="200" w:after="80"/>
      </w:pPr>
      <w:r>
        <w:rPr>
          <w:rFonts w:ascii="Times New Roman" w:hAnsi="Times New Roman" w:eastAsia="Times New Roman"/>
          <w:b/>
          <w:sz w:val="26"/>
        </w:rPr>
        <w:t>Реквизиты Исполнителя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</w:tcPr>
          <w:p>
            <w:r>
              <w:t>Наименование</w:t>
            </w:r>
          </w:p>
        </w:tc>
        <w:tc>
          <w:tcPr>
            <w:tcW w:type="dxa" w:w="5669"/>
          </w:tcPr>
          <w:p>
            <w:r>
              <w:t>Индивидуальный предприниматель Павлов Максим Альбертович</w:t>
            </w:r>
          </w:p>
        </w:tc>
      </w:tr>
      <w:tr>
        <w:tc>
          <w:tcPr>
            <w:tcW w:type="dxa" w:w="3402"/>
          </w:tcPr>
          <w:p>
            <w:r>
              <w:t>Юридический адрес</w:t>
            </w:r>
          </w:p>
        </w:tc>
        <w:tc>
          <w:tcPr>
            <w:tcW w:type="dxa" w:w="5669"/>
          </w:tcPr>
          <w:p>
            <w:r>
              <w:t>127015, Россия, г. Москва, ул. Новодмитровская, д. 2, корп. 6, кв. 201</w:t>
            </w:r>
          </w:p>
        </w:tc>
      </w:tr>
      <w:tr>
        <w:tc>
          <w:tcPr>
            <w:tcW w:type="dxa" w:w="3402"/>
          </w:tcPr>
          <w:p>
            <w:r>
              <w:t>ИНН</w:t>
            </w:r>
          </w:p>
        </w:tc>
        <w:tc>
          <w:tcPr>
            <w:tcW w:type="dxa" w:w="5669"/>
          </w:tcPr>
          <w:p>
            <w:r>
              <w:t>213012581357</w:t>
            </w:r>
          </w:p>
        </w:tc>
      </w:tr>
      <w:tr>
        <w:tc>
          <w:tcPr>
            <w:tcW w:type="dxa" w:w="3402"/>
          </w:tcPr>
          <w:p>
            <w:r>
              <w:t>ОГРНИП</w:t>
            </w:r>
          </w:p>
        </w:tc>
        <w:tc>
          <w:tcPr>
            <w:tcW w:type="dxa" w:w="5669"/>
          </w:tcPr>
          <w:p>
            <w:r>
              <w:t>323774600706008</w:t>
            </w:r>
          </w:p>
        </w:tc>
      </w:tr>
      <w:tr>
        <w:tc>
          <w:tcPr>
            <w:tcW w:type="dxa" w:w="3402"/>
          </w:tcPr>
          <w:p>
            <w:r>
              <w:t>Расчетный счет</w:t>
            </w:r>
          </w:p>
        </w:tc>
        <w:tc>
          <w:tcPr>
            <w:tcW w:type="dxa" w:w="5669"/>
          </w:tcPr>
          <w:p>
            <w:r>
              <w:t>40802810500005357727</w:t>
            </w:r>
          </w:p>
        </w:tc>
      </w:tr>
      <w:tr>
        <w:tc>
          <w:tcPr>
            <w:tcW w:type="dxa" w:w="3402"/>
          </w:tcPr>
          <w:p>
            <w:r>
              <w:t>Банк</w:t>
            </w:r>
          </w:p>
        </w:tc>
        <w:tc>
          <w:tcPr>
            <w:tcW w:type="dxa" w:w="5669"/>
          </w:tcPr>
          <w:p>
            <w:r>
              <w:t>АО «ТБанк»</w:t>
            </w:r>
          </w:p>
        </w:tc>
      </w:tr>
      <w:tr>
        <w:tc>
          <w:tcPr>
            <w:tcW w:type="dxa" w:w="3402"/>
          </w:tcPr>
          <w:p>
            <w:r>
              <w:t>БИК</w:t>
            </w:r>
          </w:p>
        </w:tc>
        <w:tc>
          <w:tcPr>
            <w:tcW w:type="dxa" w:w="5669"/>
          </w:tcPr>
          <w:p>
            <w:r>
              <w:t>044525974</w:t>
            </w:r>
          </w:p>
        </w:tc>
      </w:tr>
      <w:tr>
        <w:tc>
          <w:tcPr>
            <w:tcW w:type="dxa" w:w="3402"/>
          </w:tcPr>
          <w:p>
            <w:r>
              <w:t>ИНН банка</w:t>
            </w:r>
          </w:p>
        </w:tc>
        <w:tc>
          <w:tcPr>
            <w:tcW w:type="dxa" w:w="5669"/>
          </w:tcPr>
          <w:p>
            <w:r>
              <w:t>7710140679</w:t>
            </w:r>
          </w:p>
        </w:tc>
      </w:tr>
      <w:tr>
        <w:tc>
          <w:tcPr>
            <w:tcW w:type="dxa" w:w="3402"/>
          </w:tcPr>
          <w:p>
            <w:r>
              <w:t>Корреспондентский счет</w:t>
            </w:r>
          </w:p>
        </w:tc>
        <w:tc>
          <w:tcPr>
            <w:tcW w:type="dxa" w:w="5669"/>
          </w:tcPr>
          <w:p>
            <w:r>
              <w:t>30101810145250000974</w:t>
            </w:r>
          </w:p>
        </w:tc>
      </w:tr>
      <w:tr>
        <w:tc>
          <w:tcPr>
            <w:tcW w:type="dxa" w:w="3402"/>
          </w:tcPr>
          <w:p>
            <w:r>
              <w:t>Юридический адрес банка</w:t>
            </w:r>
          </w:p>
        </w:tc>
        <w:tc>
          <w:tcPr>
            <w:tcW w:type="dxa" w:w="5669"/>
          </w:tcPr>
          <w:p>
            <w:r>
              <w:t>127287, г. Москва, ул. Хуторская 2-я, д. 38А, стр. 26</w:t>
            </w:r>
          </w:p>
        </w:tc>
      </w:tr>
    </w:tbl>
    <w:p/>
    <w:p>
      <w:pPr>
        <w:spacing w:before="200" w:after="0"/>
      </w:pPr>
      <w:r>
        <w:t>Индивидуальный предприниматель Павлов Максим Альбертович</w:t>
      </w:r>
    </w:p>
    <w:p>
      <w:pPr>
        <w:spacing w:after="0"/>
      </w:pPr>
      <w:r>
        <w:t>Подпись: _____________________ / М.А. Павлов /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